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Grilledutableau"/>
        <w:tblW w:w="15088" w:type="dxa"/>
        <w:jc w:val="center"/>
        <w:tblLook w:val="04A0" w:firstRow="1" w:lastRow="0" w:firstColumn="1" w:lastColumn="0" w:noHBand="0" w:noVBand="1"/>
      </w:tblPr>
      <w:tblGrid>
        <w:gridCol w:w="1384"/>
        <w:gridCol w:w="4349"/>
        <w:gridCol w:w="3654"/>
        <w:gridCol w:w="5701"/>
      </w:tblGrid>
      <w:tr w:rsidR="008D578C" w:rsidRPr="008D578C" w:rsidTr="008D578C">
        <w:trPr>
          <w:jc w:val="center"/>
        </w:trPr>
        <w:tc>
          <w:tcPr>
            <w:tcW w:w="1384" w:type="dxa"/>
          </w:tcPr>
          <w:p w:rsidR="008D578C" w:rsidRPr="008D578C" w:rsidRDefault="008D578C" w:rsidP="00463CD5">
            <w:pPr>
              <w:rPr>
                <w:b/>
                <w:sz w:val="18"/>
              </w:rPr>
            </w:pPr>
            <w:r w:rsidRPr="008D578C">
              <w:rPr>
                <w:b/>
                <w:sz w:val="18"/>
              </w:rPr>
              <w:t>Date prévue</w:t>
            </w:r>
          </w:p>
        </w:tc>
        <w:tc>
          <w:tcPr>
            <w:tcW w:w="4349" w:type="dxa"/>
          </w:tcPr>
          <w:p w:rsidR="008D578C" w:rsidRPr="008D578C" w:rsidRDefault="008D578C" w:rsidP="00463CD5">
            <w:pPr>
              <w:rPr>
                <w:b/>
                <w:sz w:val="18"/>
              </w:rPr>
            </w:pPr>
            <w:r w:rsidRPr="008D578C">
              <w:rPr>
                <w:b/>
                <w:sz w:val="18"/>
              </w:rPr>
              <w:t>Prévisions issues du CA du 29 novembre 2016</w:t>
            </w:r>
          </w:p>
        </w:tc>
        <w:tc>
          <w:tcPr>
            <w:tcW w:w="3654" w:type="dxa"/>
          </w:tcPr>
          <w:p w:rsidR="008D578C" w:rsidRPr="008D578C" w:rsidRDefault="008D578C" w:rsidP="00463CD5">
            <w:pPr>
              <w:rPr>
                <w:b/>
                <w:sz w:val="18"/>
              </w:rPr>
            </w:pPr>
            <w:r w:rsidRPr="008D578C">
              <w:rPr>
                <w:b/>
                <w:sz w:val="18"/>
              </w:rPr>
              <w:t>Niveau mis en œuvre</w:t>
            </w:r>
          </w:p>
        </w:tc>
        <w:tc>
          <w:tcPr>
            <w:tcW w:w="5701" w:type="dxa"/>
          </w:tcPr>
          <w:p w:rsidR="008D578C" w:rsidRPr="008D578C" w:rsidRDefault="008D578C" w:rsidP="00463CD5">
            <w:pPr>
              <w:rPr>
                <w:b/>
                <w:sz w:val="18"/>
              </w:rPr>
            </w:pPr>
            <w:r w:rsidRPr="008D578C">
              <w:rPr>
                <w:b/>
                <w:sz w:val="18"/>
              </w:rPr>
              <w:t>Commentaires</w:t>
            </w:r>
          </w:p>
        </w:tc>
      </w:tr>
      <w:tr w:rsidR="008D578C" w:rsidRPr="008D578C" w:rsidTr="008D578C">
        <w:trPr>
          <w:jc w:val="center"/>
        </w:trPr>
        <w:tc>
          <w:tcPr>
            <w:tcW w:w="1384" w:type="dxa"/>
            <w:vMerge w:val="restart"/>
          </w:tcPr>
          <w:p w:rsidR="008D578C" w:rsidRPr="008D578C" w:rsidRDefault="008D578C" w:rsidP="00463CD5">
            <w:pPr>
              <w:rPr>
                <w:sz w:val="18"/>
              </w:rPr>
            </w:pPr>
            <w:r w:rsidRPr="008D578C">
              <w:rPr>
                <w:sz w:val="18"/>
              </w:rPr>
              <w:t>31/12/2016</w:t>
            </w:r>
          </w:p>
          <w:p w:rsidR="008D578C" w:rsidRPr="008D578C" w:rsidRDefault="008D578C" w:rsidP="00463CD5">
            <w:pPr>
              <w:rPr>
                <w:sz w:val="18"/>
              </w:rPr>
            </w:pPr>
          </w:p>
          <w:p w:rsidR="008D578C" w:rsidRPr="008D578C" w:rsidRDefault="008D578C" w:rsidP="00463CD5">
            <w:pPr>
              <w:rPr>
                <w:sz w:val="18"/>
              </w:rPr>
            </w:pPr>
          </w:p>
          <w:p w:rsidR="008D578C" w:rsidRPr="008D578C" w:rsidRDefault="008D578C" w:rsidP="00463CD5">
            <w:pPr>
              <w:rPr>
                <w:sz w:val="18"/>
              </w:rPr>
            </w:pPr>
          </w:p>
        </w:tc>
        <w:tc>
          <w:tcPr>
            <w:tcW w:w="4349" w:type="dxa"/>
          </w:tcPr>
          <w:p w:rsidR="008D578C" w:rsidRPr="008D578C" w:rsidRDefault="008D578C" w:rsidP="00463CD5">
            <w:pPr>
              <w:rPr>
                <w:sz w:val="18"/>
              </w:rPr>
            </w:pPr>
            <w:r w:rsidRPr="008D578C">
              <w:rPr>
                <w:sz w:val="18"/>
              </w:rPr>
              <w:t>Libération de 7 agents pour cause économique car pris en charge sur PRODIAG qui a fini son budget FINEX</w:t>
            </w:r>
          </w:p>
        </w:tc>
        <w:tc>
          <w:tcPr>
            <w:tcW w:w="3654" w:type="dxa"/>
          </w:tcPr>
          <w:p w:rsidR="008D578C" w:rsidRPr="008D578C" w:rsidRDefault="008D578C" w:rsidP="00463CD5">
            <w:pPr>
              <w:rPr>
                <w:sz w:val="18"/>
              </w:rPr>
            </w:pPr>
            <w:r w:rsidRPr="008D578C">
              <w:rPr>
                <w:sz w:val="18"/>
              </w:rPr>
              <w:t>Procédure engagée le 5 décembre et réalisée depuis le 6 janvier 2017</w:t>
            </w:r>
          </w:p>
        </w:tc>
        <w:tc>
          <w:tcPr>
            <w:tcW w:w="5701" w:type="dxa"/>
          </w:tcPr>
          <w:p w:rsidR="008D578C" w:rsidRPr="008D578C" w:rsidRDefault="008D578C" w:rsidP="00463CD5">
            <w:pPr>
              <w:rPr>
                <w:sz w:val="18"/>
              </w:rPr>
            </w:pPr>
            <w:r w:rsidRPr="008D578C">
              <w:rPr>
                <w:sz w:val="18"/>
              </w:rPr>
              <w:t>Contestation sur niveau des ISR en cours d’étude</w:t>
            </w:r>
          </w:p>
        </w:tc>
      </w:tr>
      <w:tr w:rsidR="008D578C" w:rsidRPr="008D578C" w:rsidTr="008D578C">
        <w:trPr>
          <w:jc w:val="center"/>
        </w:trPr>
        <w:tc>
          <w:tcPr>
            <w:tcW w:w="1384" w:type="dxa"/>
            <w:vMerge/>
          </w:tcPr>
          <w:p w:rsidR="008D578C" w:rsidRPr="008D578C" w:rsidRDefault="008D578C" w:rsidP="00463CD5">
            <w:pPr>
              <w:rPr>
                <w:sz w:val="18"/>
              </w:rPr>
            </w:pPr>
          </w:p>
        </w:tc>
        <w:tc>
          <w:tcPr>
            <w:tcW w:w="4349" w:type="dxa"/>
          </w:tcPr>
          <w:p w:rsidR="008D578C" w:rsidRPr="008D578C" w:rsidRDefault="008D578C" w:rsidP="00463CD5">
            <w:pPr>
              <w:rPr>
                <w:sz w:val="18"/>
              </w:rPr>
            </w:pPr>
            <w:r w:rsidRPr="008D578C">
              <w:rPr>
                <w:sz w:val="18"/>
              </w:rPr>
              <w:t>Démission du Chef de composante Aménagement.</w:t>
            </w:r>
          </w:p>
        </w:tc>
        <w:tc>
          <w:tcPr>
            <w:tcW w:w="3654" w:type="dxa"/>
          </w:tcPr>
          <w:p w:rsidR="008D578C" w:rsidRPr="008D578C" w:rsidRDefault="008D578C" w:rsidP="00463CD5">
            <w:pPr>
              <w:rPr>
                <w:sz w:val="18"/>
              </w:rPr>
            </w:pPr>
            <w:r w:rsidRPr="008D578C">
              <w:rPr>
                <w:sz w:val="18"/>
              </w:rPr>
              <w:t>A voulu se positionner en prestataire privé</w:t>
            </w:r>
          </w:p>
        </w:tc>
        <w:tc>
          <w:tcPr>
            <w:tcW w:w="5701" w:type="dxa"/>
          </w:tcPr>
          <w:p w:rsidR="008D578C" w:rsidRPr="008D578C" w:rsidRDefault="008D578C" w:rsidP="00463CD5">
            <w:pPr>
              <w:rPr>
                <w:sz w:val="18"/>
              </w:rPr>
            </w:pPr>
            <w:r w:rsidRPr="008D578C">
              <w:rPr>
                <w:sz w:val="18"/>
              </w:rPr>
              <w:t>C’est effectif depuis le 31 décembre 2016 et suite à son prévis de 3 mois</w:t>
            </w:r>
          </w:p>
        </w:tc>
      </w:tr>
      <w:tr w:rsidR="008D578C" w:rsidRPr="008D578C" w:rsidTr="008D578C">
        <w:trPr>
          <w:jc w:val="center"/>
        </w:trPr>
        <w:tc>
          <w:tcPr>
            <w:tcW w:w="1384" w:type="dxa"/>
            <w:vMerge/>
          </w:tcPr>
          <w:p w:rsidR="008D578C" w:rsidRPr="008D578C" w:rsidRDefault="008D578C" w:rsidP="00463CD5">
            <w:pPr>
              <w:rPr>
                <w:sz w:val="18"/>
              </w:rPr>
            </w:pPr>
          </w:p>
        </w:tc>
        <w:tc>
          <w:tcPr>
            <w:tcW w:w="4349" w:type="dxa"/>
          </w:tcPr>
          <w:p w:rsidR="008D578C" w:rsidRPr="008D578C" w:rsidRDefault="008D578C" w:rsidP="00463CD5">
            <w:pPr>
              <w:rPr>
                <w:sz w:val="18"/>
              </w:rPr>
            </w:pPr>
            <w:r w:rsidRPr="008D578C">
              <w:rPr>
                <w:sz w:val="18"/>
              </w:rPr>
              <w:t>Fin contrat non renouvelé du RP Estuaire</w:t>
            </w:r>
          </w:p>
        </w:tc>
        <w:tc>
          <w:tcPr>
            <w:tcW w:w="3654" w:type="dxa"/>
          </w:tcPr>
          <w:p w:rsidR="008D578C" w:rsidRPr="008D578C" w:rsidRDefault="008D578C" w:rsidP="00463CD5">
            <w:pPr>
              <w:rPr>
                <w:sz w:val="18"/>
              </w:rPr>
            </w:pPr>
            <w:r w:rsidRPr="008D578C">
              <w:rPr>
                <w:sz w:val="18"/>
              </w:rPr>
              <w:t>Procédure effective depuis le 31 décembre 2016</w:t>
            </w:r>
          </w:p>
        </w:tc>
        <w:tc>
          <w:tcPr>
            <w:tcW w:w="5701" w:type="dxa"/>
          </w:tcPr>
          <w:p w:rsidR="008D578C" w:rsidRPr="008D578C" w:rsidRDefault="008D578C" w:rsidP="00463CD5">
            <w:pPr>
              <w:rPr>
                <w:sz w:val="18"/>
              </w:rPr>
            </w:pPr>
            <w:r w:rsidRPr="008D578C">
              <w:rPr>
                <w:sz w:val="18"/>
              </w:rPr>
              <w:t xml:space="preserve">L’Estuaire est suivi par l’équipe centrale. Le centre de </w:t>
            </w:r>
            <w:proofErr w:type="spellStart"/>
            <w:r w:rsidRPr="008D578C">
              <w:rPr>
                <w:sz w:val="18"/>
              </w:rPr>
              <w:t>Ntoum</w:t>
            </w:r>
            <w:proofErr w:type="spellEnd"/>
            <w:r w:rsidRPr="008D578C">
              <w:rPr>
                <w:sz w:val="18"/>
              </w:rPr>
              <w:t xml:space="preserve"> a été fermé le 6 janvier 2017</w:t>
            </w:r>
          </w:p>
        </w:tc>
      </w:tr>
      <w:tr w:rsidR="008D578C" w:rsidRPr="008D578C" w:rsidTr="008D578C">
        <w:trPr>
          <w:jc w:val="center"/>
        </w:trPr>
        <w:tc>
          <w:tcPr>
            <w:tcW w:w="1384" w:type="dxa"/>
            <w:vMerge/>
          </w:tcPr>
          <w:p w:rsidR="008D578C" w:rsidRPr="008D578C" w:rsidRDefault="008D578C" w:rsidP="00463CD5">
            <w:pPr>
              <w:rPr>
                <w:sz w:val="18"/>
              </w:rPr>
            </w:pPr>
          </w:p>
        </w:tc>
        <w:tc>
          <w:tcPr>
            <w:tcW w:w="4349" w:type="dxa"/>
          </w:tcPr>
          <w:p w:rsidR="008D578C" w:rsidRPr="008D578C" w:rsidRDefault="008D578C" w:rsidP="00463CD5">
            <w:pPr>
              <w:rPr>
                <w:sz w:val="18"/>
              </w:rPr>
            </w:pPr>
            <w:r w:rsidRPr="008D578C">
              <w:rPr>
                <w:sz w:val="18"/>
              </w:rPr>
              <w:t xml:space="preserve">Arrêt contrat de l’assistante </w:t>
            </w:r>
            <w:proofErr w:type="spellStart"/>
            <w:r w:rsidRPr="008D578C">
              <w:rPr>
                <w:sz w:val="18"/>
              </w:rPr>
              <w:t>Agrisud</w:t>
            </w:r>
            <w:proofErr w:type="spellEnd"/>
            <w:r w:rsidRPr="008D578C">
              <w:rPr>
                <w:sz w:val="18"/>
              </w:rPr>
              <w:t xml:space="preserve"> chargée du suivi opérationnel</w:t>
            </w:r>
          </w:p>
        </w:tc>
        <w:tc>
          <w:tcPr>
            <w:tcW w:w="3654" w:type="dxa"/>
          </w:tcPr>
          <w:p w:rsidR="008D578C" w:rsidRPr="008D578C" w:rsidRDefault="008D578C" w:rsidP="00463CD5">
            <w:pPr>
              <w:rPr>
                <w:sz w:val="18"/>
              </w:rPr>
            </w:pPr>
            <w:r w:rsidRPr="008D578C">
              <w:rPr>
                <w:sz w:val="18"/>
              </w:rPr>
              <w:t>Procédure effective depuis le 15 décembre 2016</w:t>
            </w:r>
          </w:p>
        </w:tc>
        <w:tc>
          <w:tcPr>
            <w:tcW w:w="5701" w:type="dxa"/>
          </w:tcPr>
          <w:p w:rsidR="008D578C" w:rsidRPr="008D578C" w:rsidRDefault="008D578C" w:rsidP="00463CD5">
            <w:pPr>
              <w:rPr>
                <w:sz w:val="18"/>
              </w:rPr>
            </w:pPr>
            <w:r w:rsidRPr="008D578C">
              <w:rPr>
                <w:sz w:val="18"/>
              </w:rPr>
              <w:t>Le remplacement est assuré par un agent de la composante ACP qui a été muté à ce poste</w:t>
            </w:r>
          </w:p>
        </w:tc>
      </w:tr>
      <w:tr w:rsidR="008D578C" w:rsidRPr="008D578C" w:rsidTr="008D578C">
        <w:trPr>
          <w:jc w:val="center"/>
        </w:trPr>
        <w:tc>
          <w:tcPr>
            <w:tcW w:w="1384" w:type="dxa"/>
            <w:vMerge/>
          </w:tcPr>
          <w:p w:rsidR="008D578C" w:rsidRPr="008D578C" w:rsidRDefault="008D578C" w:rsidP="00463CD5">
            <w:pPr>
              <w:rPr>
                <w:sz w:val="18"/>
              </w:rPr>
            </w:pPr>
          </w:p>
        </w:tc>
        <w:tc>
          <w:tcPr>
            <w:tcW w:w="4349" w:type="dxa"/>
          </w:tcPr>
          <w:p w:rsidR="008D578C" w:rsidRPr="008D578C" w:rsidRDefault="008D578C" w:rsidP="00463CD5">
            <w:pPr>
              <w:rPr>
                <w:sz w:val="18"/>
              </w:rPr>
            </w:pPr>
            <w:r w:rsidRPr="008D578C">
              <w:rPr>
                <w:sz w:val="18"/>
              </w:rPr>
              <w:t>Demande de remise à disposition de l’administration des 2 fonctionnaires en situation de détachement faute de moyens</w:t>
            </w:r>
          </w:p>
        </w:tc>
        <w:tc>
          <w:tcPr>
            <w:tcW w:w="3654" w:type="dxa"/>
          </w:tcPr>
          <w:p w:rsidR="008D578C" w:rsidRPr="008D578C" w:rsidRDefault="008D578C" w:rsidP="00463CD5">
            <w:pPr>
              <w:rPr>
                <w:sz w:val="18"/>
              </w:rPr>
            </w:pPr>
            <w:r w:rsidRPr="008D578C">
              <w:rPr>
                <w:sz w:val="18"/>
              </w:rPr>
              <w:t>La demande a été transmise à l’Administrateur de l’IGAD le 19 décembre, mais elle a été rejetée.</w:t>
            </w:r>
          </w:p>
        </w:tc>
        <w:tc>
          <w:tcPr>
            <w:tcW w:w="5701" w:type="dxa"/>
          </w:tcPr>
          <w:p w:rsidR="008D578C" w:rsidRPr="008D578C" w:rsidRDefault="008D578C" w:rsidP="00463CD5">
            <w:pPr>
              <w:rPr>
                <w:sz w:val="18"/>
              </w:rPr>
            </w:pPr>
            <w:r w:rsidRPr="008D578C">
              <w:rPr>
                <w:sz w:val="18"/>
              </w:rPr>
              <w:t xml:space="preserve">Proposition d’un budget additionnel de 93 M F CFA afin de supporter le maintien des 2 fonctionnaires jusqu’au 31 décembre 2017. </w:t>
            </w:r>
          </w:p>
        </w:tc>
      </w:tr>
      <w:tr w:rsidR="008D578C" w:rsidRPr="008D578C" w:rsidTr="008D578C">
        <w:trPr>
          <w:jc w:val="center"/>
        </w:trPr>
        <w:tc>
          <w:tcPr>
            <w:tcW w:w="1384" w:type="dxa"/>
            <w:vMerge/>
          </w:tcPr>
          <w:p w:rsidR="008D578C" w:rsidRPr="008D578C" w:rsidRDefault="008D578C" w:rsidP="00463CD5">
            <w:pPr>
              <w:rPr>
                <w:sz w:val="18"/>
              </w:rPr>
            </w:pPr>
          </w:p>
        </w:tc>
        <w:tc>
          <w:tcPr>
            <w:tcW w:w="4349" w:type="dxa"/>
          </w:tcPr>
          <w:p w:rsidR="008D578C" w:rsidRPr="008D578C" w:rsidRDefault="008D578C" w:rsidP="00463CD5">
            <w:pPr>
              <w:rPr>
                <w:sz w:val="18"/>
              </w:rPr>
            </w:pPr>
            <w:r w:rsidRPr="008D578C">
              <w:rPr>
                <w:sz w:val="18"/>
              </w:rPr>
              <w:t>Paiement des prestations des 33 agents pour la période du 01/07/2016 au 30/09/2016</w:t>
            </w:r>
          </w:p>
        </w:tc>
        <w:tc>
          <w:tcPr>
            <w:tcW w:w="3654" w:type="dxa"/>
          </w:tcPr>
          <w:p w:rsidR="008D578C" w:rsidRPr="008D578C" w:rsidRDefault="008D578C" w:rsidP="00463CD5">
            <w:pPr>
              <w:rPr>
                <w:sz w:val="18"/>
              </w:rPr>
            </w:pPr>
            <w:r w:rsidRPr="008D578C">
              <w:rPr>
                <w:sz w:val="18"/>
              </w:rPr>
              <w:t xml:space="preserve">Ce montant sur fonds de contrepartie a été versé le 30 décembre sur le montant global attendu dans le cadre de la régularisation du virement effectué le 24 juin sur compte n’appartenant pas à l’IGAD. </w:t>
            </w:r>
          </w:p>
        </w:tc>
        <w:tc>
          <w:tcPr>
            <w:tcW w:w="5701" w:type="dxa"/>
          </w:tcPr>
          <w:p w:rsidR="008D578C" w:rsidRPr="008D578C" w:rsidRDefault="008D578C" w:rsidP="00463CD5">
            <w:pPr>
              <w:rPr>
                <w:sz w:val="18"/>
              </w:rPr>
            </w:pPr>
            <w:r w:rsidRPr="008D578C">
              <w:rPr>
                <w:sz w:val="18"/>
              </w:rPr>
              <w:t xml:space="preserve">Ce versement a permis le règlement partiel de leurs indemnités. Nous continuons à relancer le Trésor pour la suite des versements. </w:t>
            </w:r>
          </w:p>
        </w:tc>
      </w:tr>
      <w:tr w:rsidR="008D578C" w:rsidRPr="008D578C" w:rsidTr="008D578C">
        <w:trPr>
          <w:jc w:val="center"/>
        </w:trPr>
        <w:tc>
          <w:tcPr>
            <w:tcW w:w="1384" w:type="dxa"/>
            <w:vMerge/>
          </w:tcPr>
          <w:p w:rsidR="008D578C" w:rsidRPr="008D578C" w:rsidRDefault="008D578C" w:rsidP="00463CD5">
            <w:pPr>
              <w:rPr>
                <w:sz w:val="18"/>
              </w:rPr>
            </w:pPr>
          </w:p>
        </w:tc>
        <w:tc>
          <w:tcPr>
            <w:tcW w:w="4349" w:type="dxa"/>
          </w:tcPr>
          <w:p w:rsidR="008D578C" w:rsidRPr="008D578C" w:rsidRDefault="008D578C" w:rsidP="00463CD5">
            <w:pPr>
              <w:rPr>
                <w:sz w:val="18"/>
              </w:rPr>
            </w:pPr>
            <w:r w:rsidRPr="008D578C">
              <w:rPr>
                <w:sz w:val="18"/>
              </w:rPr>
              <w:t>Remboursement aux caisses d’avance AFD des préfinancements des dépenses inéligibles (Impôts sur les marchés PRODIAG, TVA…)</w:t>
            </w:r>
          </w:p>
        </w:tc>
        <w:tc>
          <w:tcPr>
            <w:tcW w:w="3654" w:type="dxa"/>
          </w:tcPr>
          <w:p w:rsidR="008D578C" w:rsidRPr="008D578C" w:rsidRDefault="008D578C" w:rsidP="00463CD5">
            <w:pPr>
              <w:rPr>
                <w:sz w:val="18"/>
              </w:rPr>
            </w:pPr>
            <w:r w:rsidRPr="008D578C">
              <w:rPr>
                <w:sz w:val="18"/>
              </w:rPr>
              <w:t>Cette somme, sortie pour le remboursement, constituera un élément de blocage pour justification des caisses d’avances en cas de non-paiement</w:t>
            </w:r>
          </w:p>
        </w:tc>
        <w:tc>
          <w:tcPr>
            <w:tcW w:w="5701" w:type="dxa"/>
          </w:tcPr>
          <w:p w:rsidR="008D578C" w:rsidRPr="008D578C" w:rsidRDefault="008D578C" w:rsidP="00463CD5">
            <w:pPr>
              <w:rPr>
                <w:sz w:val="18"/>
              </w:rPr>
            </w:pPr>
            <w:r w:rsidRPr="008D578C">
              <w:rPr>
                <w:sz w:val="18"/>
              </w:rPr>
              <w:t>Ce montant fait partie d’un fonds de 2015 réalloué en 2016 et il est toujours attendu.</w:t>
            </w:r>
          </w:p>
        </w:tc>
      </w:tr>
      <w:tr w:rsidR="008D578C" w:rsidRPr="008D578C" w:rsidTr="008D578C">
        <w:trPr>
          <w:jc w:val="center"/>
        </w:trPr>
        <w:tc>
          <w:tcPr>
            <w:tcW w:w="1384" w:type="dxa"/>
            <w:vMerge/>
          </w:tcPr>
          <w:p w:rsidR="008D578C" w:rsidRPr="008D578C" w:rsidRDefault="008D578C" w:rsidP="00463CD5">
            <w:pPr>
              <w:rPr>
                <w:sz w:val="18"/>
              </w:rPr>
            </w:pPr>
          </w:p>
        </w:tc>
        <w:tc>
          <w:tcPr>
            <w:tcW w:w="4349" w:type="dxa"/>
          </w:tcPr>
          <w:p w:rsidR="008D578C" w:rsidRPr="008D578C" w:rsidRDefault="008D578C" w:rsidP="00463CD5">
            <w:pPr>
              <w:rPr>
                <w:sz w:val="18"/>
              </w:rPr>
            </w:pPr>
            <w:r w:rsidRPr="008D578C">
              <w:rPr>
                <w:sz w:val="18"/>
              </w:rPr>
              <w:t>Participation à la mise en œuvre des objectifs  sur contrepartie Etat (Impôts sur les marchés FAIA, TVA…)</w:t>
            </w:r>
          </w:p>
        </w:tc>
        <w:tc>
          <w:tcPr>
            <w:tcW w:w="3654" w:type="dxa"/>
          </w:tcPr>
          <w:p w:rsidR="008D578C" w:rsidRPr="008D578C" w:rsidRDefault="008D578C" w:rsidP="00463CD5">
            <w:pPr>
              <w:rPr>
                <w:sz w:val="18"/>
              </w:rPr>
            </w:pPr>
          </w:p>
        </w:tc>
        <w:tc>
          <w:tcPr>
            <w:tcW w:w="5701" w:type="dxa"/>
          </w:tcPr>
          <w:p w:rsidR="008D578C" w:rsidRPr="008D578C" w:rsidRDefault="008D578C" w:rsidP="00463CD5">
            <w:pPr>
              <w:rPr>
                <w:sz w:val="18"/>
              </w:rPr>
            </w:pPr>
            <w:r w:rsidRPr="008D578C">
              <w:rPr>
                <w:sz w:val="18"/>
              </w:rPr>
              <w:t xml:space="preserve">Ces parties ne seront contractualisées que si les fonds sont disponibles. </w:t>
            </w:r>
          </w:p>
        </w:tc>
      </w:tr>
      <w:tr w:rsidR="008D578C" w:rsidRPr="008D578C" w:rsidTr="008D578C">
        <w:trPr>
          <w:jc w:val="center"/>
        </w:trPr>
        <w:tc>
          <w:tcPr>
            <w:tcW w:w="1384" w:type="dxa"/>
            <w:vMerge/>
          </w:tcPr>
          <w:p w:rsidR="008D578C" w:rsidRPr="008D578C" w:rsidRDefault="008D578C" w:rsidP="00463CD5">
            <w:pPr>
              <w:rPr>
                <w:sz w:val="18"/>
              </w:rPr>
            </w:pPr>
          </w:p>
        </w:tc>
        <w:tc>
          <w:tcPr>
            <w:tcW w:w="4349" w:type="dxa"/>
          </w:tcPr>
          <w:p w:rsidR="008D578C" w:rsidRPr="008D578C" w:rsidRDefault="008D578C" w:rsidP="00463CD5">
            <w:pPr>
              <w:rPr>
                <w:sz w:val="18"/>
              </w:rPr>
            </w:pPr>
            <w:r w:rsidRPr="008D578C">
              <w:rPr>
                <w:sz w:val="18"/>
              </w:rPr>
              <w:t>Signature avenant N°2 pour report date de mobilisation des fonds et révisions de la répartition budgétaire par composante</w:t>
            </w:r>
          </w:p>
        </w:tc>
        <w:tc>
          <w:tcPr>
            <w:tcW w:w="3654" w:type="dxa"/>
          </w:tcPr>
          <w:p w:rsidR="008D578C" w:rsidRPr="008D578C" w:rsidRDefault="008D578C" w:rsidP="00463CD5">
            <w:pPr>
              <w:rPr>
                <w:sz w:val="18"/>
              </w:rPr>
            </w:pPr>
            <w:r w:rsidRPr="008D578C">
              <w:rPr>
                <w:sz w:val="18"/>
              </w:rPr>
              <w:t>Avenant signé le 30 décembre 2016</w:t>
            </w:r>
          </w:p>
        </w:tc>
        <w:tc>
          <w:tcPr>
            <w:tcW w:w="5701" w:type="dxa"/>
          </w:tcPr>
          <w:p w:rsidR="008D578C" w:rsidRPr="008D578C" w:rsidRDefault="008D578C" w:rsidP="00463CD5">
            <w:pPr>
              <w:rPr>
                <w:sz w:val="18"/>
              </w:rPr>
            </w:pPr>
            <w:r w:rsidRPr="008D578C">
              <w:rPr>
                <w:sz w:val="18"/>
              </w:rPr>
              <w:t>Il permet la mobilisation de l’ensemble du reliquat du FINEX.</w:t>
            </w:r>
          </w:p>
        </w:tc>
      </w:tr>
    </w:tbl>
    <w:p w:rsidR="008D578C" w:rsidRDefault="00107C5B">
      <w:r>
        <w:t xml:space="preserve"> </w:t>
      </w:r>
    </w:p>
    <w:p w:rsidR="008D578C" w:rsidRDefault="008D578C"/>
    <w:p w:rsidR="008D578C" w:rsidRDefault="008D578C"/>
    <w:tbl>
      <w:tblPr>
        <w:tblStyle w:val="Grilledutableau"/>
        <w:tblW w:w="15088" w:type="dxa"/>
        <w:jc w:val="center"/>
        <w:tblLook w:val="04A0" w:firstRow="1" w:lastRow="0" w:firstColumn="1" w:lastColumn="0" w:noHBand="0" w:noVBand="1"/>
      </w:tblPr>
      <w:tblGrid>
        <w:gridCol w:w="1384"/>
        <w:gridCol w:w="4349"/>
        <w:gridCol w:w="3654"/>
        <w:gridCol w:w="5701"/>
      </w:tblGrid>
      <w:tr w:rsidR="008D578C" w:rsidRPr="008D578C" w:rsidTr="008D578C">
        <w:trPr>
          <w:jc w:val="center"/>
        </w:trPr>
        <w:tc>
          <w:tcPr>
            <w:tcW w:w="1384" w:type="dxa"/>
          </w:tcPr>
          <w:p w:rsidR="008D578C" w:rsidRPr="008D578C" w:rsidRDefault="008D578C" w:rsidP="00463CD5">
            <w:pPr>
              <w:rPr>
                <w:sz w:val="18"/>
              </w:rPr>
            </w:pPr>
            <w:r w:rsidRPr="008D578C">
              <w:rPr>
                <w:sz w:val="18"/>
              </w:rPr>
              <w:lastRenderedPageBreak/>
              <w:t>31/01/2017</w:t>
            </w:r>
          </w:p>
        </w:tc>
        <w:tc>
          <w:tcPr>
            <w:tcW w:w="4349" w:type="dxa"/>
          </w:tcPr>
          <w:p w:rsidR="008D578C" w:rsidRPr="008D578C" w:rsidRDefault="008D578C" w:rsidP="00463CD5">
            <w:pPr>
              <w:rPr>
                <w:sz w:val="18"/>
              </w:rPr>
            </w:pPr>
            <w:r w:rsidRPr="008D578C">
              <w:rPr>
                <w:sz w:val="18"/>
              </w:rPr>
              <w:t>Présentation mémoire 19 PRODIAG</w:t>
            </w:r>
          </w:p>
        </w:tc>
        <w:tc>
          <w:tcPr>
            <w:tcW w:w="3654" w:type="dxa"/>
          </w:tcPr>
          <w:p w:rsidR="008D578C" w:rsidRPr="008D578C" w:rsidRDefault="008D578C" w:rsidP="00463CD5">
            <w:pPr>
              <w:rPr>
                <w:sz w:val="18"/>
              </w:rPr>
            </w:pPr>
            <w:r w:rsidRPr="008D578C">
              <w:rPr>
                <w:sz w:val="18"/>
              </w:rPr>
              <w:t>Mémoire en cours de transmission</w:t>
            </w:r>
          </w:p>
        </w:tc>
        <w:tc>
          <w:tcPr>
            <w:tcW w:w="5701" w:type="dxa"/>
          </w:tcPr>
          <w:p w:rsidR="008D578C" w:rsidRPr="008D578C" w:rsidRDefault="008D578C" w:rsidP="00463CD5">
            <w:pPr>
              <w:rPr>
                <w:sz w:val="18"/>
              </w:rPr>
            </w:pPr>
            <w:r w:rsidRPr="008D578C">
              <w:rPr>
                <w:sz w:val="18"/>
              </w:rPr>
              <w:t>Ce dernier ré abondement de la caisse d’avance du PRODIAG par le FINEX doit permettre le fonctionnement à effectif réduit jusqu’au 30 avril 2017</w:t>
            </w:r>
          </w:p>
        </w:tc>
      </w:tr>
      <w:tr w:rsidR="008D578C" w:rsidRPr="008D578C" w:rsidTr="008D578C">
        <w:trPr>
          <w:jc w:val="center"/>
        </w:trPr>
        <w:tc>
          <w:tcPr>
            <w:tcW w:w="1384" w:type="dxa"/>
          </w:tcPr>
          <w:p w:rsidR="008D578C" w:rsidRPr="008D578C" w:rsidRDefault="008D578C" w:rsidP="00463CD5">
            <w:pPr>
              <w:rPr>
                <w:sz w:val="18"/>
              </w:rPr>
            </w:pPr>
            <w:r w:rsidRPr="008D578C">
              <w:rPr>
                <w:sz w:val="18"/>
              </w:rPr>
              <w:t>16/01/2017</w:t>
            </w:r>
          </w:p>
        </w:tc>
        <w:tc>
          <w:tcPr>
            <w:tcW w:w="4349" w:type="dxa"/>
          </w:tcPr>
          <w:p w:rsidR="008D578C" w:rsidRPr="008D578C" w:rsidRDefault="008D578C" w:rsidP="00463CD5">
            <w:pPr>
              <w:rPr>
                <w:sz w:val="18"/>
              </w:rPr>
            </w:pPr>
            <w:r w:rsidRPr="008D578C">
              <w:rPr>
                <w:sz w:val="18"/>
              </w:rPr>
              <w:t>Poursuite avec dispositif de 18 personnes</w:t>
            </w:r>
          </w:p>
        </w:tc>
        <w:tc>
          <w:tcPr>
            <w:tcW w:w="3654" w:type="dxa"/>
          </w:tcPr>
          <w:p w:rsidR="008D578C" w:rsidRPr="008D578C" w:rsidRDefault="008D578C" w:rsidP="00463CD5">
            <w:pPr>
              <w:rPr>
                <w:sz w:val="18"/>
              </w:rPr>
            </w:pPr>
            <w:r w:rsidRPr="008D578C">
              <w:rPr>
                <w:sz w:val="18"/>
              </w:rPr>
              <w:t>La poursuite se fait avec 20 personnes compte tenu du maintien des 2 fonctionnaires.</w:t>
            </w:r>
          </w:p>
        </w:tc>
        <w:tc>
          <w:tcPr>
            <w:tcW w:w="5701" w:type="dxa"/>
          </w:tcPr>
          <w:p w:rsidR="008D578C" w:rsidRPr="008D578C" w:rsidRDefault="008D578C" w:rsidP="00463CD5">
            <w:pPr>
              <w:rPr>
                <w:sz w:val="18"/>
              </w:rPr>
            </w:pPr>
            <w:r w:rsidRPr="008D578C">
              <w:rPr>
                <w:sz w:val="18"/>
              </w:rPr>
              <w:t xml:space="preserve">Réorganisation du personnel restant afin de continuer à suivre les marchés en cours et les installations à effectuer. </w:t>
            </w:r>
          </w:p>
        </w:tc>
      </w:tr>
      <w:tr w:rsidR="008D578C" w:rsidRPr="008D578C" w:rsidTr="008D578C">
        <w:trPr>
          <w:jc w:val="center"/>
        </w:trPr>
        <w:tc>
          <w:tcPr>
            <w:tcW w:w="1384" w:type="dxa"/>
          </w:tcPr>
          <w:p w:rsidR="008D578C" w:rsidRPr="008D578C" w:rsidRDefault="008D578C" w:rsidP="00463CD5">
            <w:pPr>
              <w:rPr>
                <w:sz w:val="18"/>
              </w:rPr>
            </w:pPr>
            <w:r w:rsidRPr="008D578C">
              <w:rPr>
                <w:sz w:val="18"/>
              </w:rPr>
              <w:t>30/04/2017</w:t>
            </w:r>
          </w:p>
        </w:tc>
        <w:tc>
          <w:tcPr>
            <w:tcW w:w="4349" w:type="dxa"/>
          </w:tcPr>
          <w:p w:rsidR="008D578C" w:rsidRPr="008D578C" w:rsidRDefault="008D578C" w:rsidP="00463CD5">
            <w:pPr>
              <w:rPr>
                <w:sz w:val="18"/>
              </w:rPr>
            </w:pPr>
            <w:r w:rsidRPr="008D578C">
              <w:rPr>
                <w:sz w:val="18"/>
              </w:rPr>
              <w:t>Fin de la mobilisation des fonds du FINEX</w:t>
            </w:r>
          </w:p>
        </w:tc>
        <w:tc>
          <w:tcPr>
            <w:tcW w:w="3654" w:type="dxa"/>
          </w:tcPr>
          <w:p w:rsidR="008D578C" w:rsidRPr="008D578C" w:rsidRDefault="008D578C" w:rsidP="00463CD5">
            <w:pPr>
              <w:rPr>
                <w:sz w:val="18"/>
              </w:rPr>
            </w:pPr>
            <w:r w:rsidRPr="008D578C">
              <w:rPr>
                <w:sz w:val="18"/>
              </w:rPr>
              <w:t>A la demande du CA, proposition d’un budget complémentaire de 385 M FCFA pour la mise en place d’un système de suivi opérationnel dans le but de conserver les acquis.</w:t>
            </w:r>
          </w:p>
        </w:tc>
        <w:tc>
          <w:tcPr>
            <w:tcW w:w="5701" w:type="dxa"/>
          </w:tcPr>
          <w:p w:rsidR="008D578C" w:rsidRPr="008D578C" w:rsidRDefault="008D578C" w:rsidP="00463CD5">
            <w:pPr>
              <w:rPr>
                <w:sz w:val="18"/>
              </w:rPr>
            </w:pPr>
            <w:r w:rsidRPr="008D578C">
              <w:rPr>
                <w:sz w:val="18"/>
              </w:rPr>
              <w:t xml:space="preserve">Sans la mobilisation du budget additionnel, l’IGAD ne pourra équilibrer son budget 2017. </w:t>
            </w:r>
            <w:bookmarkStart w:id="0" w:name="_GoBack"/>
            <w:bookmarkEnd w:id="0"/>
          </w:p>
        </w:tc>
      </w:tr>
      <w:tr w:rsidR="008D578C" w:rsidRPr="008D578C" w:rsidTr="008D578C">
        <w:trPr>
          <w:jc w:val="center"/>
        </w:trPr>
        <w:tc>
          <w:tcPr>
            <w:tcW w:w="1384" w:type="dxa"/>
          </w:tcPr>
          <w:p w:rsidR="008D578C" w:rsidRPr="008D578C" w:rsidRDefault="008D578C" w:rsidP="00463CD5">
            <w:pPr>
              <w:rPr>
                <w:sz w:val="18"/>
              </w:rPr>
            </w:pPr>
            <w:r w:rsidRPr="008D578C">
              <w:rPr>
                <w:sz w:val="18"/>
              </w:rPr>
              <w:t>30/08/2017</w:t>
            </w:r>
          </w:p>
        </w:tc>
        <w:tc>
          <w:tcPr>
            <w:tcW w:w="4349" w:type="dxa"/>
          </w:tcPr>
          <w:p w:rsidR="008D578C" w:rsidRPr="008D578C" w:rsidRDefault="008D578C" w:rsidP="00463CD5">
            <w:pPr>
              <w:rPr>
                <w:sz w:val="18"/>
              </w:rPr>
            </w:pPr>
            <w:r w:rsidRPr="008D578C">
              <w:rPr>
                <w:sz w:val="18"/>
              </w:rPr>
              <w:t>Projet avec le CIRMF</w:t>
            </w:r>
          </w:p>
        </w:tc>
        <w:tc>
          <w:tcPr>
            <w:tcW w:w="3654" w:type="dxa"/>
          </w:tcPr>
          <w:p w:rsidR="008D578C" w:rsidRPr="008D578C" w:rsidRDefault="008D578C" w:rsidP="00463CD5">
            <w:pPr>
              <w:rPr>
                <w:sz w:val="18"/>
              </w:rPr>
            </w:pPr>
            <w:r w:rsidRPr="008D578C">
              <w:rPr>
                <w:sz w:val="18"/>
              </w:rPr>
              <w:t>Identification d’un nouveau partenaire financier espéré vers cette date</w:t>
            </w:r>
          </w:p>
        </w:tc>
        <w:tc>
          <w:tcPr>
            <w:tcW w:w="5701" w:type="dxa"/>
          </w:tcPr>
          <w:p w:rsidR="008D578C" w:rsidRPr="008D578C" w:rsidRDefault="008D578C" w:rsidP="00463CD5">
            <w:pPr>
              <w:rPr>
                <w:sz w:val="18"/>
              </w:rPr>
            </w:pPr>
          </w:p>
        </w:tc>
      </w:tr>
      <w:tr w:rsidR="008D578C" w:rsidRPr="008D578C" w:rsidTr="008D578C">
        <w:trPr>
          <w:jc w:val="center"/>
        </w:trPr>
        <w:tc>
          <w:tcPr>
            <w:tcW w:w="1384" w:type="dxa"/>
          </w:tcPr>
          <w:p w:rsidR="008D578C" w:rsidRPr="008D578C" w:rsidRDefault="008D578C" w:rsidP="00463CD5">
            <w:pPr>
              <w:rPr>
                <w:sz w:val="18"/>
              </w:rPr>
            </w:pPr>
            <w:r w:rsidRPr="008D578C">
              <w:rPr>
                <w:sz w:val="18"/>
              </w:rPr>
              <w:t>30/09/2017</w:t>
            </w:r>
          </w:p>
        </w:tc>
        <w:tc>
          <w:tcPr>
            <w:tcW w:w="4349" w:type="dxa"/>
          </w:tcPr>
          <w:p w:rsidR="008D578C" w:rsidRPr="008D578C" w:rsidRDefault="008D578C" w:rsidP="00463CD5">
            <w:pPr>
              <w:rPr>
                <w:sz w:val="18"/>
              </w:rPr>
            </w:pPr>
            <w:r w:rsidRPr="008D578C">
              <w:rPr>
                <w:sz w:val="18"/>
              </w:rPr>
              <w:t>Validation en conseil des ministres</w:t>
            </w:r>
          </w:p>
        </w:tc>
        <w:tc>
          <w:tcPr>
            <w:tcW w:w="3654" w:type="dxa"/>
          </w:tcPr>
          <w:p w:rsidR="008D578C" w:rsidRPr="008D578C" w:rsidRDefault="008D578C" w:rsidP="00463CD5">
            <w:pPr>
              <w:rPr>
                <w:sz w:val="18"/>
              </w:rPr>
            </w:pPr>
            <w:r w:rsidRPr="008D578C">
              <w:rPr>
                <w:sz w:val="18"/>
              </w:rPr>
              <w:t>Le DGFRA a le dossier technique et doit finaliser le budget</w:t>
            </w:r>
          </w:p>
        </w:tc>
        <w:tc>
          <w:tcPr>
            <w:tcW w:w="5701" w:type="dxa"/>
          </w:tcPr>
          <w:p w:rsidR="008D578C" w:rsidRPr="008D578C" w:rsidRDefault="008D578C" w:rsidP="00463CD5">
            <w:pPr>
              <w:rPr>
                <w:sz w:val="18"/>
              </w:rPr>
            </w:pPr>
          </w:p>
        </w:tc>
      </w:tr>
      <w:tr w:rsidR="008D578C" w:rsidRPr="008D578C" w:rsidTr="008D578C">
        <w:trPr>
          <w:jc w:val="center"/>
        </w:trPr>
        <w:tc>
          <w:tcPr>
            <w:tcW w:w="1384" w:type="dxa"/>
          </w:tcPr>
          <w:p w:rsidR="008D578C" w:rsidRPr="008D578C" w:rsidRDefault="008D578C" w:rsidP="00463CD5">
            <w:pPr>
              <w:rPr>
                <w:sz w:val="18"/>
              </w:rPr>
            </w:pPr>
            <w:r w:rsidRPr="008D578C">
              <w:rPr>
                <w:sz w:val="18"/>
              </w:rPr>
              <w:t>30/11/2017</w:t>
            </w:r>
          </w:p>
        </w:tc>
        <w:tc>
          <w:tcPr>
            <w:tcW w:w="4349" w:type="dxa"/>
          </w:tcPr>
          <w:p w:rsidR="008D578C" w:rsidRPr="008D578C" w:rsidRDefault="008D578C" w:rsidP="00463CD5">
            <w:pPr>
              <w:rPr>
                <w:sz w:val="18"/>
              </w:rPr>
            </w:pPr>
            <w:r w:rsidRPr="008D578C">
              <w:rPr>
                <w:sz w:val="18"/>
              </w:rPr>
              <w:t>Adoption par l’assemblée nationale du PRODIAG 2</w:t>
            </w:r>
          </w:p>
        </w:tc>
        <w:tc>
          <w:tcPr>
            <w:tcW w:w="3654" w:type="dxa"/>
          </w:tcPr>
          <w:p w:rsidR="008D578C" w:rsidRPr="008D578C" w:rsidRDefault="008D578C" w:rsidP="00463CD5">
            <w:pPr>
              <w:rPr>
                <w:sz w:val="18"/>
              </w:rPr>
            </w:pPr>
          </w:p>
        </w:tc>
        <w:tc>
          <w:tcPr>
            <w:tcW w:w="5701" w:type="dxa"/>
          </w:tcPr>
          <w:p w:rsidR="008D578C" w:rsidRPr="008D578C" w:rsidRDefault="008D578C" w:rsidP="00463CD5">
            <w:pPr>
              <w:rPr>
                <w:sz w:val="18"/>
              </w:rPr>
            </w:pPr>
          </w:p>
        </w:tc>
      </w:tr>
    </w:tbl>
    <w:p w:rsidR="00A0386F" w:rsidRDefault="00783DC7"/>
    <w:sectPr w:rsidR="00A0386F" w:rsidSect="00D53919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0450CD"/>
    <w:multiLevelType w:val="multilevel"/>
    <w:tmpl w:val="125C975C"/>
    <w:lvl w:ilvl="0">
      <w:start w:val="1"/>
      <w:numFmt w:val="decimal"/>
      <w:pStyle w:val="Titre1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6D4F4593"/>
    <w:multiLevelType w:val="hybridMultilevel"/>
    <w:tmpl w:val="D92E5B8A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4791F91"/>
    <w:multiLevelType w:val="multilevel"/>
    <w:tmpl w:val="0C96200A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pStyle w:val="Titre2"/>
      <w:lvlText w:val="%1.%2"/>
      <w:lvlJc w:val="left"/>
      <w:pPr>
        <w:ind w:left="576" w:hanging="576"/>
      </w:pPr>
    </w:lvl>
    <w:lvl w:ilvl="2">
      <w:start w:val="1"/>
      <w:numFmt w:val="decimal"/>
      <w:pStyle w:val="Titre3"/>
      <w:lvlText w:val="%1.%2.%3"/>
      <w:lvlJc w:val="left"/>
      <w:pPr>
        <w:ind w:left="720" w:hanging="720"/>
      </w:pPr>
    </w:lvl>
    <w:lvl w:ilvl="3">
      <w:start w:val="1"/>
      <w:numFmt w:val="decimal"/>
      <w:pStyle w:val="Titre4"/>
      <w:lvlText w:val="%1.%2.%3.%4"/>
      <w:lvlJc w:val="left"/>
      <w:pPr>
        <w:ind w:left="864" w:hanging="864"/>
      </w:pPr>
    </w:lvl>
    <w:lvl w:ilvl="4">
      <w:start w:val="1"/>
      <w:numFmt w:val="decimal"/>
      <w:pStyle w:val="Titre5"/>
      <w:lvlText w:val="%1.%2.%3.%4.%5"/>
      <w:lvlJc w:val="left"/>
      <w:pPr>
        <w:ind w:left="1008" w:hanging="1008"/>
      </w:pPr>
    </w:lvl>
    <w:lvl w:ilvl="5">
      <w:start w:val="1"/>
      <w:numFmt w:val="decimal"/>
      <w:pStyle w:val="Titre6"/>
      <w:lvlText w:val="%1.%2.%3.%4.%5.%6"/>
      <w:lvlJc w:val="left"/>
      <w:pPr>
        <w:ind w:left="1152" w:hanging="1152"/>
      </w:pPr>
    </w:lvl>
    <w:lvl w:ilvl="6">
      <w:start w:val="1"/>
      <w:numFmt w:val="decimal"/>
      <w:pStyle w:val="Titre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itre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itre9"/>
      <w:lvlText w:val="%1.%2.%3.%4.%5.%6.%7.%8.%9"/>
      <w:lvlJc w:val="left"/>
      <w:pPr>
        <w:ind w:left="1584" w:hanging="1584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7C5B"/>
    <w:rsid w:val="00107C5B"/>
    <w:rsid w:val="0026124E"/>
    <w:rsid w:val="00483B46"/>
    <w:rsid w:val="0063075C"/>
    <w:rsid w:val="00631506"/>
    <w:rsid w:val="00783DC7"/>
    <w:rsid w:val="008D578C"/>
    <w:rsid w:val="00BB2230"/>
    <w:rsid w:val="00BC382A"/>
    <w:rsid w:val="00D53919"/>
    <w:rsid w:val="00F41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7C5B"/>
    <w:pPr>
      <w:spacing w:after="160" w:line="259" w:lineRule="auto"/>
    </w:pPr>
  </w:style>
  <w:style w:type="paragraph" w:styleId="Titre1">
    <w:name w:val="heading 1"/>
    <w:basedOn w:val="Normal"/>
    <w:next w:val="Normal"/>
    <w:link w:val="Titre1Car"/>
    <w:uiPriority w:val="9"/>
    <w:qFormat/>
    <w:rsid w:val="00107C5B"/>
    <w:pPr>
      <w:keepNext/>
      <w:keepLines/>
      <w:numPr>
        <w:numId w:val="3"/>
      </w:numPr>
      <w:spacing w:before="480" w:after="0" w:line="276" w:lineRule="auto"/>
      <w:jc w:val="both"/>
      <w:outlineLvl w:val="0"/>
    </w:pPr>
    <w:rPr>
      <w:rFonts w:asciiTheme="majorHAnsi" w:eastAsiaTheme="majorEastAsia" w:hAnsiTheme="majorHAnsi" w:cstheme="majorBidi"/>
      <w:b/>
      <w:bCs/>
      <w:color w:val="00B050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107C5B"/>
    <w:pPr>
      <w:keepNext/>
      <w:keepLines/>
      <w:numPr>
        <w:ilvl w:val="1"/>
        <w:numId w:val="1"/>
      </w:numPr>
      <w:spacing w:before="200" w:after="0" w:line="276" w:lineRule="auto"/>
      <w:jc w:val="both"/>
      <w:outlineLvl w:val="1"/>
    </w:pPr>
    <w:rPr>
      <w:rFonts w:asciiTheme="majorHAnsi" w:eastAsiaTheme="majorEastAsia" w:hAnsiTheme="majorHAnsi" w:cstheme="majorBidi"/>
      <w:b/>
      <w:bCs/>
      <w:color w:val="00B050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107C5B"/>
    <w:pPr>
      <w:keepNext/>
      <w:keepLines/>
      <w:numPr>
        <w:ilvl w:val="2"/>
        <w:numId w:val="1"/>
      </w:numPr>
      <w:spacing w:before="200" w:after="0" w:line="276" w:lineRule="auto"/>
      <w:jc w:val="both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107C5B"/>
    <w:pPr>
      <w:keepNext/>
      <w:keepLines/>
      <w:numPr>
        <w:ilvl w:val="3"/>
        <w:numId w:val="1"/>
      </w:numPr>
      <w:spacing w:before="200" w:after="0" w:line="276" w:lineRule="auto"/>
      <w:jc w:val="both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4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107C5B"/>
    <w:pPr>
      <w:keepNext/>
      <w:keepLines/>
      <w:numPr>
        <w:ilvl w:val="4"/>
        <w:numId w:val="1"/>
      </w:numPr>
      <w:spacing w:before="200" w:after="0" w:line="276" w:lineRule="auto"/>
      <w:jc w:val="both"/>
      <w:outlineLvl w:val="4"/>
    </w:pPr>
    <w:rPr>
      <w:rFonts w:asciiTheme="majorHAnsi" w:eastAsiaTheme="majorEastAsia" w:hAnsiTheme="majorHAnsi" w:cstheme="majorBidi"/>
      <w:color w:val="243F60" w:themeColor="accent1" w:themeShade="7F"/>
      <w:sz w:val="24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107C5B"/>
    <w:pPr>
      <w:keepNext/>
      <w:keepLines/>
      <w:numPr>
        <w:ilvl w:val="5"/>
        <w:numId w:val="1"/>
      </w:numPr>
      <w:spacing w:before="200" w:after="0" w:line="276" w:lineRule="auto"/>
      <w:jc w:val="both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4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107C5B"/>
    <w:pPr>
      <w:keepNext/>
      <w:keepLines/>
      <w:numPr>
        <w:ilvl w:val="6"/>
        <w:numId w:val="1"/>
      </w:numPr>
      <w:spacing w:before="200" w:after="0" w:line="276" w:lineRule="auto"/>
      <w:jc w:val="both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4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107C5B"/>
    <w:pPr>
      <w:keepNext/>
      <w:keepLines/>
      <w:numPr>
        <w:ilvl w:val="7"/>
        <w:numId w:val="1"/>
      </w:numPr>
      <w:spacing w:before="200" w:after="0" w:line="276" w:lineRule="auto"/>
      <w:jc w:val="both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107C5B"/>
    <w:pPr>
      <w:keepNext/>
      <w:keepLines/>
      <w:numPr>
        <w:ilvl w:val="8"/>
        <w:numId w:val="1"/>
      </w:numPr>
      <w:spacing w:before="200" w:after="0" w:line="276" w:lineRule="auto"/>
      <w:jc w:val="both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107C5B"/>
    <w:rPr>
      <w:rFonts w:asciiTheme="majorHAnsi" w:eastAsiaTheme="majorEastAsia" w:hAnsiTheme="majorHAnsi" w:cstheme="majorBidi"/>
      <w:b/>
      <w:bCs/>
      <w:color w:val="00B050"/>
      <w:sz w:val="28"/>
      <w:szCs w:val="28"/>
    </w:rPr>
  </w:style>
  <w:style w:type="character" w:customStyle="1" w:styleId="Titre2Car">
    <w:name w:val="Titre 2 Car"/>
    <w:basedOn w:val="Policepardfaut"/>
    <w:link w:val="Titre2"/>
    <w:uiPriority w:val="9"/>
    <w:rsid w:val="00107C5B"/>
    <w:rPr>
      <w:rFonts w:asciiTheme="majorHAnsi" w:eastAsiaTheme="majorEastAsia" w:hAnsiTheme="majorHAnsi" w:cstheme="majorBidi"/>
      <w:b/>
      <w:bCs/>
      <w:color w:val="00B050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semiHidden/>
    <w:rsid w:val="00107C5B"/>
    <w:rPr>
      <w:rFonts w:asciiTheme="majorHAnsi" w:eastAsiaTheme="majorEastAsia" w:hAnsiTheme="majorHAnsi" w:cstheme="majorBidi"/>
      <w:b/>
      <w:bCs/>
      <w:color w:val="4F81BD" w:themeColor="accent1"/>
      <w:sz w:val="24"/>
    </w:rPr>
  </w:style>
  <w:style w:type="character" w:customStyle="1" w:styleId="Titre4Car">
    <w:name w:val="Titre 4 Car"/>
    <w:basedOn w:val="Policepardfaut"/>
    <w:link w:val="Titre4"/>
    <w:uiPriority w:val="9"/>
    <w:semiHidden/>
    <w:rsid w:val="00107C5B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</w:rPr>
  </w:style>
  <w:style w:type="character" w:customStyle="1" w:styleId="Titre5Car">
    <w:name w:val="Titre 5 Car"/>
    <w:basedOn w:val="Policepardfaut"/>
    <w:link w:val="Titre5"/>
    <w:uiPriority w:val="9"/>
    <w:semiHidden/>
    <w:rsid w:val="00107C5B"/>
    <w:rPr>
      <w:rFonts w:asciiTheme="majorHAnsi" w:eastAsiaTheme="majorEastAsia" w:hAnsiTheme="majorHAnsi" w:cstheme="majorBidi"/>
      <w:color w:val="243F60" w:themeColor="accent1" w:themeShade="7F"/>
      <w:sz w:val="24"/>
    </w:rPr>
  </w:style>
  <w:style w:type="character" w:customStyle="1" w:styleId="Titre6Car">
    <w:name w:val="Titre 6 Car"/>
    <w:basedOn w:val="Policepardfaut"/>
    <w:link w:val="Titre6"/>
    <w:uiPriority w:val="9"/>
    <w:semiHidden/>
    <w:rsid w:val="00107C5B"/>
    <w:rPr>
      <w:rFonts w:asciiTheme="majorHAnsi" w:eastAsiaTheme="majorEastAsia" w:hAnsiTheme="majorHAnsi" w:cstheme="majorBidi"/>
      <w:i/>
      <w:iCs/>
      <w:color w:val="243F60" w:themeColor="accent1" w:themeShade="7F"/>
      <w:sz w:val="24"/>
    </w:rPr>
  </w:style>
  <w:style w:type="character" w:customStyle="1" w:styleId="Titre7Car">
    <w:name w:val="Titre 7 Car"/>
    <w:basedOn w:val="Policepardfaut"/>
    <w:link w:val="Titre7"/>
    <w:uiPriority w:val="9"/>
    <w:semiHidden/>
    <w:rsid w:val="00107C5B"/>
    <w:rPr>
      <w:rFonts w:asciiTheme="majorHAnsi" w:eastAsiaTheme="majorEastAsia" w:hAnsiTheme="majorHAnsi" w:cstheme="majorBidi"/>
      <w:i/>
      <w:iCs/>
      <w:color w:val="404040" w:themeColor="text1" w:themeTint="BF"/>
      <w:sz w:val="24"/>
    </w:rPr>
  </w:style>
  <w:style w:type="character" w:customStyle="1" w:styleId="Titre8Car">
    <w:name w:val="Titre 8 Car"/>
    <w:basedOn w:val="Policepardfaut"/>
    <w:link w:val="Titre8"/>
    <w:uiPriority w:val="9"/>
    <w:semiHidden/>
    <w:rsid w:val="00107C5B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itre9Car">
    <w:name w:val="Titre 9 Car"/>
    <w:basedOn w:val="Policepardfaut"/>
    <w:link w:val="Titre9"/>
    <w:uiPriority w:val="9"/>
    <w:semiHidden/>
    <w:rsid w:val="00107C5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Paragraphedeliste">
    <w:name w:val="List Paragraph"/>
    <w:basedOn w:val="Normal"/>
    <w:uiPriority w:val="34"/>
    <w:qFormat/>
    <w:rsid w:val="00107C5B"/>
    <w:pPr>
      <w:spacing w:after="200" w:line="276" w:lineRule="auto"/>
      <w:ind w:left="720"/>
      <w:contextualSpacing/>
      <w:jc w:val="both"/>
    </w:pPr>
    <w:rPr>
      <w:rFonts w:ascii="Arial" w:hAnsi="Arial" w:cs="Arial"/>
      <w:sz w:val="24"/>
    </w:rPr>
  </w:style>
  <w:style w:type="table" w:styleId="Grilledutableau">
    <w:name w:val="Table Grid"/>
    <w:basedOn w:val="TableauNormal"/>
    <w:uiPriority w:val="59"/>
    <w:rsid w:val="00D539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7C5B"/>
    <w:pPr>
      <w:spacing w:after="160" w:line="259" w:lineRule="auto"/>
    </w:pPr>
  </w:style>
  <w:style w:type="paragraph" w:styleId="Titre1">
    <w:name w:val="heading 1"/>
    <w:basedOn w:val="Normal"/>
    <w:next w:val="Normal"/>
    <w:link w:val="Titre1Car"/>
    <w:uiPriority w:val="9"/>
    <w:qFormat/>
    <w:rsid w:val="00107C5B"/>
    <w:pPr>
      <w:keepNext/>
      <w:keepLines/>
      <w:numPr>
        <w:numId w:val="3"/>
      </w:numPr>
      <w:spacing w:before="480" w:after="0" w:line="276" w:lineRule="auto"/>
      <w:jc w:val="both"/>
      <w:outlineLvl w:val="0"/>
    </w:pPr>
    <w:rPr>
      <w:rFonts w:asciiTheme="majorHAnsi" w:eastAsiaTheme="majorEastAsia" w:hAnsiTheme="majorHAnsi" w:cstheme="majorBidi"/>
      <w:b/>
      <w:bCs/>
      <w:color w:val="00B050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107C5B"/>
    <w:pPr>
      <w:keepNext/>
      <w:keepLines/>
      <w:numPr>
        <w:ilvl w:val="1"/>
        <w:numId w:val="1"/>
      </w:numPr>
      <w:spacing w:before="200" w:after="0" w:line="276" w:lineRule="auto"/>
      <w:jc w:val="both"/>
      <w:outlineLvl w:val="1"/>
    </w:pPr>
    <w:rPr>
      <w:rFonts w:asciiTheme="majorHAnsi" w:eastAsiaTheme="majorEastAsia" w:hAnsiTheme="majorHAnsi" w:cstheme="majorBidi"/>
      <w:b/>
      <w:bCs/>
      <w:color w:val="00B050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107C5B"/>
    <w:pPr>
      <w:keepNext/>
      <w:keepLines/>
      <w:numPr>
        <w:ilvl w:val="2"/>
        <w:numId w:val="1"/>
      </w:numPr>
      <w:spacing w:before="200" w:after="0" w:line="276" w:lineRule="auto"/>
      <w:jc w:val="both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107C5B"/>
    <w:pPr>
      <w:keepNext/>
      <w:keepLines/>
      <w:numPr>
        <w:ilvl w:val="3"/>
        <w:numId w:val="1"/>
      </w:numPr>
      <w:spacing w:before="200" w:after="0" w:line="276" w:lineRule="auto"/>
      <w:jc w:val="both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4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107C5B"/>
    <w:pPr>
      <w:keepNext/>
      <w:keepLines/>
      <w:numPr>
        <w:ilvl w:val="4"/>
        <w:numId w:val="1"/>
      </w:numPr>
      <w:spacing w:before="200" w:after="0" w:line="276" w:lineRule="auto"/>
      <w:jc w:val="both"/>
      <w:outlineLvl w:val="4"/>
    </w:pPr>
    <w:rPr>
      <w:rFonts w:asciiTheme="majorHAnsi" w:eastAsiaTheme="majorEastAsia" w:hAnsiTheme="majorHAnsi" w:cstheme="majorBidi"/>
      <w:color w:val="243F60" w:themeColor="accent1" w:themeShade="7F"/>
      <w:sz w:val="24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107C5B"/>
    <w:pPr>
      <w:keepNext/>
      <w:keepLines/>
      <w:numPr>
        <w:ilvl w:val="5"/>
        <w:numId w:val="1"/>
      </w:numPr>
      <w:spacing w:before="200" w:after="0" w:line="276" w:lineRule="auto"/>
      <w:jc w:val="both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4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107C5B"/>
    <w:pPr>
      <w:keepNext/>
      <w:keepLines/>
      <w:numPr>
        <w:ilvl w:val="6"/>
        <w:numId w:val="1"/>
      </w:numPr>
      <w:spacing w:before="200" w:after="0" w:line="276" w:lineRule="auto"/>
      <w:jc w:val="both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4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107C5B"/>
    <w:pPr>
      <w:keepNext/>
      <w:keepLines/>
      <w:numPr>
        <w:ilvl w:val="7"/>
        <w:numId w:val="1"/>
      </w:numPr>
      <w:spacing w:before="200" w:after="0" w:line="276" w:lineRule="auto"/>
      <w:jc w:val="both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107C5B"/>
    <w:pPr>
      <w:keepNext/>
      <w:keepLines/>
      <w:numPr>
        <w:ilvl w:val="8"/>
        <w:numId w:val="1"/>
      </w:numPr>
      <w:spacing w:before="200" w:after="0" w:line="276" w:lineRule="auto"/>
      <w:jc w:val="both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107C5B"/>
    <w:rPr>
      <w:rFonts w:asciiTheme="majorHAnsi" w:eastAsiaTheme="majorEastAsia" w:hAnsiTheme="majorHAnsi" w:cstheme="majorBidi"/>
      <w:b/>
      <w:bCs/>
      <w:color w:val="00B050"/>
      <w:sz w:val="28"/>
      <w:szCs w:val="28"/>
    </w:rPr>
  </w:style>
  <w:style w:type="character" w:customStyle="1" w:styleId="Titre2Car">
    <w:name w:val="Titre 2 Car"/>
    <w:basedOn w:val="Policepardfaut"/>
    <w:link w:val="Titre2"/>
    <w:uiPriority w:val="9"/>
    <w:rsid w:val="00107C5B"/>
    <w:rPr>
      <w:rFonts w:asciiTheme="majorHAnsi" w:eastAsiaTheme="majorEastAsia" w:hAnsiTheme="majorHAnsi" w:cstheme="majorBidi"/>
      <w:b/>
      <w:bCs/>
      <w:color w:val="00B050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semiHidden/>
    <w:rsid w:val="00107C5B"/>
    <w:rPr>
      <w:rFonts w:asciiTheme="majorHAnsi" w:eastAsiaTheme="majorEastAsia" w:hAnsiTheme="majorHAnsi" w:cstheme="majorBidi"/>
      <w:b/>
      <w:bCs/>
      <w:color w:val="4F81BD" w:themeColor="accent1"/>
      <w:sz w:val="24"/>
    </w:rPr>
  </w:style>
  <w:style w:type="character" w:customStyle="1" w:styleId="Titre4Car">
    <w:name w:val="Titre 4 Car"/>
    <w:basedOn w:val="Policepardfaut"/>
    <w:link w:val="Titre4"/>
    <w:uiPriority w:val="9"/>
    <w:semiHidden/>
    <w:rsid w:val="00107C5B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</w:rPr>
  </w:style>
  <w:style w:type="character" w:customStyle="1" w:styleId="Titre5Car">
    <w:name w:val="Titre 5 Car"/>
    <w:basedOn w:val="Policepardfaut"/>
    <w:link w:val="Titre5"/>
    <w:uiPriority w:val="9"/>
    <w:semiHidden/>
    <w:rsid w:val="00107C5B"/>
    <w:rPr>
      <w:rFonts w:asciiTheme="majorHAnsi" w:eastAsiaTheme="majorEastAsia" w:hAnsiTheme="majorHAnsi" w:cstheme="majorBidi"/>
      <w:color w:val="243F60" w:themeColor="accent1" w:themeShade="7F"/>
      <w:sz w:val="24"/>
    </w:rPr>
  </w:style>
  <w:style w:type="character" w:customStyle="1" w:styleId="Titre6Car">
    <w:name w:val="Titre 6 Car"/>
    <w:basedOn w:val="Policepardfaut"/>
    <w:link w:val="Titre6"/>
    <w:uiPriority w:val="9"/>
    <w:semiHidden/>
    <w:rsid w:val="00107C5B"/>
    <w:rPr>
      <w:rFonts w:asciiTheme="majorHAnsi" w:eastAsiaTheme="majorEastAsia" w:hAnsiTheme="majorHAnsi" w:cstheme="majorBidi"/>
      <w:i/>
      <w:iCs/>
      <w:color w:val="243F60" w:themeColor="accent1" w:themeShade="7F"/>
      <w:sz w:val="24"/>
    </w:rPr>
  </w:style>
  <w:style w:type="character" w:customStyle="1" w:styleId="Titre7Car">
    <w:name w:val="Titre 7 Car"/>
    <w:basedOn w:val="Policepardfaut"/>
    <w:link w:val="Titre7"/>
    <w:uiPriority w:val="9"/>
    <w:semiHidden/>
    <w:rsid w:val="00107C5B"/>
    <w:rPr>
      <w:rFonts w:asciiTheme="majorHAnsi" w:eastAsiaTheme="majorEastAsia" w:hAnsiTheme="majorHAnsi" w:cstheme="majorBidi"/>
      <w:i/>
      <w:iCs/>
      <w:color w:val="404040" w:themeColor="text1" w:themeTint="BF"/>
      <w:sz w:val="24"/>
    </w:rPr>
  </w:style>
  <w:style w:type="character" w:customStyle="1" w:styleId="Titre8Car">
    <w:name w:val="Titre 8 Car"/>
    <w:basedOn w:val="Policepardfaut"/>
    <w:link w:val="Titre8"/>
    <w:uiPriority w:val="9"/>
    <w:semiHidden/>
    <w:rsid w:val="00107C5B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itre9Car">
    <w:name w:val="Titre 9 Car"/>
    <w:basedOn w:val="Policepardfaut"/>
    <w:link w:val="Titre9"/>
    <w:uiPriority w:val="9"/>
    <w:semiHidden/>
    <w:rsid w:val="00107C5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Paragraphedeliste">
    <w:name w:val="List Paragraph"/>
    <w:basedOn w:val="Normal"/>
    <w:uiPriority w:val="34"/>
    <w:qFormat/>
    <w:rsid w:val="00107C5B"/>
    <w:pPr>
      <w:spacing w:after="200" w:line="276" w:lineRule="auto"/>
      <w:ind w:left="720"/>
      <w:contextualSpacing/>
      <w:jc w:val="both"/>
    </w:pPr>
    <w:rPr>
      <w:rFonts w:ascii="Arial" w:hAnsi="Arial" w:cs="Arial"/>
      <w:sz w:val="24"/>
    </w:rPr>
  </w:style>
  <w:style w:type="table" w:styleId="Grilledutableau">
    <w:name w:val="Table Grid"/>
    <w:basedOn w:val="TableauNormal"/>
    <w:uiPriority w:val="59"/>
    <w:rsid w:val="00D539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50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699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40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345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298</TotalTime>
  <Pages>2</Pages>
  <Words>534</Words>
  <Characters>2938</Characters>
  <Application>Microsoft Office Word</Application>
  <DocSecurity>0</DocSecurity>
  <Lines>24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perky</dc:creator>
  <cp:lastModifiedBy>perky</cp:lastModifiedBy>
  <cp:revision>1</cp:revision>
  <cp:lastPrinted>2017-03-08T12:10:00Z</cp:lastPrinted>
  <dcterms:created xsi:type="dcterms:W3CDTF">2017-03-07T12:45:00Z</dcterms:created>
  <dcterms:modified xsi:type="dcterms:W3CDTF">2017-03-08T12:45:00Z</dcterms:modified>
</cp:coreProperties>
</file>